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4716F482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038A">
        <w:rPr>
          <w:rStyle w:val="ax1"/>
          <w:rFonts w:ascii="Times New Roman" w:hAnsi="Times New Roman" w:cs="Times New Roman"/>
          <w:sz w:val="28"/>
          <w:szCs w:val="28"/>
        </w:rPr>
        <w:t>PROIECT</w:t>
      </w:r>
      <w:bookmarkStart w:id="0" w:name="_GoBack"/>
      <w:bookmarkEnd w:id="0"/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42274773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F7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70038A">
        <w:rPr>
          <w:rFonts w:ascii="Times New Roman" w:hAnsi="Times New Roman" w:cs="Times New Roman"/>
          <w:b/>
          <w:sz w:val="28"/>
          <w:szCs w:val="28"/>
        </w:rPr>
        <w:t>24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70038A">
        <w:rPr>
          <w:rFonts w:ascii="Times New Roman" w:hAnsi="Times New Roman" w:cs="Times New Roman"/>
          <w:b/>
          <w:sz w:val="28"/>
          <w:szCs w:val="28"/>
        </w:rPr>
        <w:t>4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37620AE1" w:rsidR="00F342E4" w:rsidRPr="0078136C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AC45F7">
        <w:rPr>
          <w:rFonts w:ascii="Times New Roman" w:hAnsi="Times New Roman"/>
          <w:b/>
          <w:bCs/>
          <w:sz w:val="24"/>
          <w:szCs w:val="24"/>
        </w:rPr>
        <w:t>NEW HOLIDAY CONCEPT SRL</w:t>
      </w:r>
      <w:r w:rsidR="00AC45F7" w:rsidRPr="00393F66">
        <w:rPr>
          <w:rFonts w:ascii="Times New Roman" w:hAnsi="Times New Roman"/>
          <w:b/>
          <w:bCs/>
          <w:sz w:val="24"/>
          <w:szCs w:val="24"/>
        </w:rPr>
        <w:t>,</w:t>
      </w:r>
      <w:r w:rsidR="00AC45F7" w:rsidRPr="00393F66">
        <w:rPr>
          <w:rFonts w:ascii="Times New Roman" w:hAnsi="Times New Roman"/>
          <w:bCs/>
          <w:sz w:val="24"/>
          <w:szCs w:val="24"/>
        </w:rPr>
        <w:t xml:space="preserve"> </w:t>
      </w:r>
      <w:r w:rsidR="00AC45F7">
        <w:rPr>
          <w:rFonts w:ascii="Times New Roman" w:hAnsi="Times New Roman"/>
          <w:bCs/>
          <w:sz w:val="24"/>
          <w:szCs w:val="24"/>
        </w:rPr>
        <w:t xml:space="preserve">cu sediul in </w:t>
      </w:r>
      <w:proofErr w:type="spellStart"/>
      <w:r w:rsidR="00AC45F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AC45F7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AC45F7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AC45F7">
        <w:rPr>
          <w:rFonts w:ascii="Times New Roman" w:hAnsi="Times New Roman"/>
          <w:bCs/>
          <w:sz w:val="24"/>
          <w:szCs w:val="24"/>
        </w:rPr>
        <w:t xml:space="preserve"> Eforie, Localitatea Eforie Nord, str. Sportului, nr. FN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5F7">
        <w:rPr>
          <w:rFonts w:ascii="Times New Roman" w:hAnsi="Times New Roman" w:cs="Times New Roman"/>
          <w:bCs/>
          <w:sz w:val="24"/>
          <w:szCs w:val="24"/>
        </w:rPr>
        <w:t>12640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AC45F7">
        <w:rPr>
          <w:rFonts w:ascii="Times New Roman" w:hAnsi="Times New Roman" w:cs="Times New Roman"/>
          <w:sz w:val="24"/>
          <w:szCs w:val="24"/>
        </w:rPr>
        <w:t>29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AC45F7">
        <w:rPr>
          <w:rFonts w:ascii="Times New Roman" w:hAnsi="Times New Roman" w:cs="Times New Roman"/>
          <w:sz w:val="24"/>
          <w:szCs w:val="24"/>
        </w:rPr>
        <w:t>1</w:t>
      </w:r>
      <w:r w:rsidR="0078136C" w:rsidRPr="0078136C">
        <w:rPr>
          <w:rFonts w:ascii="Times New Roman" w:hAnsi="Times New Roman" w:cs="Times New Roman"/>
          <w:sz w:val="24"/>
          <w:szCs w:val="24"/>
        </w:rPr>
        <w:t>1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AC45F7">
        <w:rPr>
          <w:rFonts w:ascii="Times New Roman" w:hAnsi="Times New Roman" w:cs="Times New Roman"/>
          <w:sz w:val="24"/>
          <w:szCs w:val="24"/>
        </w:rPr>
        <w:t>3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2B1A3821" w:rsidR="00F342E4" w:rsidRPr="00E84315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136C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78136C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78136C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78136C">
        <w:rPr>
          <w:rFonts w:ascii="Times New Roman" w:hAnsi="Times New Roman"/>
          <w:sz w:val="24"/>
          <w:szCs w:val="24"/>
        </w:rPr>
        <w:t>urmare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/>
          <w:sz w:val="24"/>
          <w:szCs w:val="24"/>
        </w:rPr>
        <w:t>consultărilor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desfăşurate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în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cadrul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şedinţei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Comisiei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136C">
        <w:rPr>
          <w:rFonts w:ascii="Times New Roman" w:hAnsi="Times New Roman"/>
          <w:sz w:val="24"/>
          <w:szCs w:val="24"/>
        </w:rPr>
        <w:t>analiză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sz w:val="24"/>
          <w:szCs w:val="24"/>
        </w:rPr>
        <w:t>tehnică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78136C">
        <w:rPr>
          <w:rFonts w:ascii="Times New Roman" w:hAnsi="Times New Roman"/>
          <w:sz w:val="24"/>
          <w:szCs w:val="24"/>
        </w:rPr>
        <w:t>de</w:t>
      </w:r>
      <w:proofErr w:type="spellEnd"/>
      <w:r w:rsidRPr="0078136C">
        <w:rPr>
          <w:rFonts w:ascii="Times New Roman" w:hAnsi="Times New Roman"/>
          <w:sz w:val="24"/>
          <w:szCs w:val="24"/>
        </w:rPr>
        <w:t xml:space="preserve"> </w:t>
      </w:r>
      <w:r w:rsidR="00AC45F7">
        <w:rPr>
          <w:rFonts w:ascii="Times New Roman" w:hAnsi="Times New Roman"/>
          <w:sz w:val="24"/>
          <w:szCs w:val="24"/>
        </w:rPr>
        <w:t>20</w:t>
      </w:r>
      <w:r w:rsidRPr="0078136C">
        <w:rPr>
          <w:rFonts w:ascii="Times New Roman" w:hAnsi="Times New Roman"/>
          <w:sz w:val="24"/>
          <w:szCs w:val="24"/>
        </w:rPr>
        <w:t>.0</w:t>
      </w:r>
      <w:r w:rsidR="00AC45F7">
        <w:rPr>
          <w:rFonts w:ascii="Times New Roman" w:hAnsi="Times New Roman"/>
          <w:sz w:val="24"/>
          <w:szCs w:val="24"/>
        </w:rPr>
        <w:t>3</w:t>
      </w:r>
      <w:r w:rsidRPr="0078136C">
        <w:rPr>
          <w:rFonts w:ascii="Times New Roman" w:hAnsi="Times New Roman"/>
          <w:sz w:val="24"/>
          <w:szCs w:val="24"/>
        </w:rPr>
        <w:t xml:space="preserve">.2024 </w:t>
      </w:r>
      <w:r w:rsidRPr="0078136C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AC45F7">
        <w:rPr>
          <w:rFonts w:ascii="Times New Roman" w:hAnsi="Times New Roman"/>
          <w:bCs/>
          <w:sz w:val="24"/>
          <w:szCs w:val="24"/>
          <w:lang w:val="ro-RO"/>
        </w:rPr>
        <w:t>„</w:t>
      </w:r>
      <w:r w:rsidR="00AC45F7">
        <w:rPr>
          <w:rFonts w:ascii="Times New Roman" w:hAnsi="Times New Roman"/>
          <w:b/>
          <w:bCs/>
          <w:sz w:val="24"/>
          <w:szCs w:val="24"/>
          <w:lang w:val="ro-RO"/>
        </w:rPr>
        <w:t>MODERNIZARE HOTEL VIGO – IMOBIL AUTORIZAT ANTERIOR CU AC NR. 48/27.03.2019 SI AC NR. 1/12.01.2021</w:t>
      </w:r>
      <w:r w:rsidR="00AC45F7">
        <w:rPr>
          <w:rFonts w:ascii="Times New Roman" w:hAnsi="Times New Roman"/>
          <w:sz w:val="24"/>
          <w:szCs w:val="24"/>
          <w:lang w:val="ro-RO"/>
        </w:rPr>
        <w:t>”</w:t>
      </w:r>
      <w:r w:rsidR="00AC45F7" w:rsidRPr="00E41B05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proofErr w:type="spellStart"/>
      <w:r w:rsidR="00AC45F7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AC45F7">
        <w:rPr>
          <w:rFonts w:ascii="Times New Roman" w:hAnsi="Times New Roman"/>
          <w:bCs/>
          <w:sz w:val="24"/>
          <w:szCs w:val="24"/>
          <w:lang w:val="ro-RO"/>
        </w:rPr>
        <w:t xml:space="preserve"> Constanta, </w:t>
      </w:r>
      <w:proofErr w:type="spellStart"/>
      <w:r w:rsidR="00AC45F7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AC45F7">
        <w:rPr>
          <w:rFonts w:ascii="Times New Roman" w:hAnsi="Times New Roman"/>
          <w:bCs/>
          <w:sz w:val="24"/>
          <w:szCs w:val="24"/>
          <w:lang w:val="ro-RO"/>
        </w:rPr>
        <w:t xml:space="preserve"> Eforie, Localitatea Eforie Nord, Str. </w:t>
      </w:r>
      <w:proofErr w:type="spellStart"/>
      <w:r w:rsidR="00AC45F7">
        <w:rPr>
          <w:rFonts w:ascii="Times New Roman" w:hAnsi="Times New Roman"/>
          <w:bCs/>
          <w:sz w:val="24"/>
          <w:szCs w:val="24"/>
          <w:lang w:val="ro-RO"/>
        </w:rPr>
        <w:t>Grivitei</w:t>
      </w:r>
      <w:proofErr w:type="spellEnd"/>
      <w:r w:rsidR="00AC45F7">
        <w:rPr>
          <w:rFonts w:ascii="Times New Roman" w:hAnsi="Times New Roman"/>
          <w:bCs/>
          <w:sz w:val="24"/>
          <w:szCs w:val="24"/>
          <w:lang w:val="ro-RO"/>
        </w:rPr>
        <w:t xml:space="preserve">, nr. 57C + Alee acces Hotel Bucegi, Loturile 39, 38, 33, 32 din Parcelarea </w:t>
      </w:r>
      <w:proofErr w:type="spellStart"/>
      <w:r w:rsidR="00AC45F7">
        <w:rPr>
          <w:rFonts w:ascii="Times New Roman" w:hAnsi="Times New Roman"/>
          <w:bCs/>
          <w:sz w:val="24"/>
          <w:szCs w:val="24"/>
          <w:lang w:val="ro-RO"/>
        </w:rPr>
        <w:t>Butarescu</w:t>
      </w:r>
      <w:proofErr w:type="spellEnd"/>
      <w:r w:rsidRPr="00E8431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E8431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4315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E84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84315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E84315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13, litera a);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41C50625" w14:textId="77777777" w:rsidR="005B792A" w:rsidRDefault="005B792A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7AD42A" w14:textId="77777777" w:rsidR="005B792A" w:rsidRDefault="005B792A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67AC3B" w14:textId="4535D287" w:rsidR="005B792A" w:rsidRDefault="005B792A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modernizarea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destinatia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hotel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inaltime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P+2E,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modificari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interioare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existent,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extinderea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etajului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inchiderea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terasei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balconului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bucatarie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amenajarea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piscine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exterioare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bar.</w:t>
      </w:r>
    </w:p>
    <w:p w14:paraId="3CDA5BF6" w14:textId="77777777" w:rsidR="005B792A" w:rsidRDefault="005B792A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525D53" w14:textId="77777777" w:rsidR="0078136C" w:rsidRPr="00E84315" w:rsidRDefault="0078136C" w:rsidP="0039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5">
        <w:rPr>
          <w:rFonts w:ascii="Times New Roman" w:hAnsi="Times New Roman" w:cs="Times New Roman"/>
          <w:sz w:val="24"/>
          <w:szCs w:val="24"/>
        </w:rPr>
        <w:t>Vecinatatile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amplasamentului sunt: </w:t>
      </w:r>
    </w:p>
    <w:p w14:paraId="16D34160" w14:textId="568A0D0C" w:rsidR="0078136C" w:rsidRPr="00E84315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/>
          <w:bCs/>
        </w:rPr>
      </w:pPr>
      <w:r w:rsidRPr="00E84315">
        <w:rPr>
          <w:rFonts w:ascii="Times New Roman" w:hAnsi="Times New Roman" w:cs="Times New Roman"/>
          <w:b/>
          <w:bCs/>
        </w:rPr>
        <w:t xml:space="preserve">La Nord: </w:t>
      </w:r>
      <w:r w:rsidR="005B792A">
        <w:rPr>
          <w:rFonts w:ascii="Times New Roman" w:hAnsi="Times New Roman" w:cs="Times New Roman"/>
        </w:rPr>
        <w:t xml:space="preserve">Hotel </w:t>
      </w:r>
      <w:proofErr w:type="spellStart"/>
      <w:r w:rsidR="005B792A">
        <w:rPr>
          <w:rFonts w:ascii="Times New Roman" w:hAnsi="Times New Roman" w:cs="Times New Roman"/>
        </w:rPr>
        <w:t>Cerna</w:t>
      </w:r>
      <w:proofErr w:type="spellEnd"/>
      <w:r w:rsidRPr="00E84315">
        <w:rPr>
          <w:rFonts w:ascii="Times New Roman" w:hAnsi="Times New Roman" w:cs="Times New Roman"/>
        </w:rPr>
        <w:t>;</w:t>
      </w:r>
    </w:p>
    <w:p w14:paraId="417FBC0B" w14:textId="568475BA" w:rsidR="0078136C" w:rsidRPr="00E21C44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/>
          <w:bCs/>
        </w:rPr>
      </w:pPr>
      <w:r w:rsidRPr="00E21C44">
        <w:rPr>
          <w:rFonts w:ascii="Times New Roman" w:hAnsi="Times New Roman" w:cs="Times New Roman"/>
          <w:b/>
          <w:bCs/>
        </w:rPr>
        <w:t>La Est:</w:t>
      </w:r>
      <w:r w:rsidRPr="00E21C44">
        <w:rPr>
          <w:rFonts w:ascii="Times New Roman" w:hAnsi="Times New Roman" w:cs="Times New Roman"/>
        </w:rPr>
        <w:t xml:space="preserve"> </w:t>
      </w:r>
      <w:r w:rsidR="005B792A">
        <w:rPr>
          <w:rFonts w:ascii="Times New Roman" w:hAnsi="Times New Roman" w:cs="Times New Roman"/>
        </w:rPr>
        <w:t xml:space="preserve">alee </w:t>
      </w:r>
      <w:proofErr w:type="spellStart"/>
      <w:r w:rsidR="005B792A">
        <w:rPr>
          <w:rFonts w:ascii="Times New Roman" w:hAnsi="Times New Roman" w:cs="Times New Roman"/>
        </w:rPr>
        <w:t>acces</w:t>
      </w:r>
      <w:proofErr w:type="spellEnd"/>
      <w:r w:rsidR="005B792A">
        <w:rPr>
          <w:rFonts w:ascii="Times New Roman" w:hAnsi="Times New Roman" w:cs="Times New Roman"/>
        </w:rPr>
        <w:t xml:space="preserve">, Hotel </w:t>
      </w:r>
      <w:proofErr w:type="spellStart"/>
      <w:r w:rsidR="005B792A">
        <w:rPr>
          <w:rFonts w:ascii="Times New Roman" w:hAnsi="Times New Roman" w:cs="Times New Roman"/>
        </w:rPr>
        <w:t>Smarald</w:t>
      </w:r>
      <w:proofErr w:type="spellEnd"/>
      <w:r w:rsidRPr="00E21C44">
        <w:rPr>
          <w:rFonts w:ascii="Times New Roman" w:hAnsi="Times New Roman" w:cs="Times New Roman"/>
        </w:rPr>
        <w:t>;</w:t>
      </w:r>
    </w:p>
    <w:p w14:paraId="5C5DC65D" w14:textId="2120B13E" w:rsidR="0078136C" w:rsidRPr="00E21C44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/>
          <w:bCs/>
        </w:rPr>
      </w:pPr>
      <w:r w:rsidRPr="00E21C44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Pr="00E21C44">
        <w:rPr>
          <w:rFonts w:ascii="Times New Roman" w:hAnsi="Times New Roman" w:cs="Times New Roman"/>
          <w:b/>
          <w:bCs/>
        </w:rPr>
        <w:t>Sud</w:t>
      </w:r>
      <w:proofErr w:type="spellEnd"/>
      <w:r w:rsidRPr="00E21C44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E21C44">
        <w:rPr>
          <w:rFonts w:ascii="Times New Roman" w:hAnsi="Times New Roman" w:cs="Times New Roman"/>
        </w:rPr>
        <w:t>proprietate</w:t>
      </w:r>
      <w:proofErr w:type="spellEnd"/>
      <w:r w:rsidRPr="00E21C44">
        <w:rPr>
          <w:rFonts w:ascii="Times New Roman" w:hAnsi="Times New Roman" w:cs="Times New Roman"/>
        </w:rPr>
        <w:t xml:space="preserve"> </w:t>
      </w:r>
      <w:proofErr w:type="spellStart"/>
      <w:r w:rsidR="005B792A">
        <w:rPr>
          <w:rFonts w:ascii="Times New Roman" w:hAnsi="Times New Roman" w:cs="Times New Roman"/>
        </w:rPr>
        <w:t>privata</w:t>
      </w:r>
      <w:proofErr w:type="spellEnd"/>
      <w:r w:rsidRPr="00E21C44">
        <w:rPr>
          <w:rFonts w:ascii="Times New Roman" w:hAnsi="Times New Roman" w:cs="Times New Roman"/>
        </w:rPr>
        <w:t>;</w:t>
      </w:r>
    </w:p>
    <w:p w14:paraId="148FCBDC" w14:textId="7AB3CD7F" w:rsidR="0078136C" w:rsidRPr="00E21C44" w:rsidRDefault="0078136C" w:rsidP="003928F7">
      <w:pPr>
        <w:pStyle w:val="Style10"/>
        <w:numPr>
          <w:ilvl w:val="0"/>
          <w:numId w:val="9"/>
        </w:numPr>
        <w:spacing w:line="240" w:lineRule="auto"/>
        <w:ind w:right="-44"/>
        <w:rPr>
          <w:rFonts w:ascii="Times New Roman" w:hAnsi="Times New Roman" w:cs="Times New Roman"/>
          <w:bCs/>
        </w:rPr>
      </w:pPr>
      <w:r w:rsidRPr="00E21C44">
        <w:rPr>
          <w:rFonts w:ascii="Times New Roman" w:hAnsi="Times New Roman" w:cs="Times New Roman"/>
          <w:b/>
          <w:bCs/>
        </w:rPr>
        <w:t xml:space="preserve">La Vest: </w:t>
      </w:r>
      <w:proofErr w:type="spellStart"/>
      <w:r w:rsidR="005B792A">
        <w:rPr>
          <w:rFonts w:ascii="Times New Roman" w:hAnsi="Times New Roman" w:cs="Times New Roman"/>
        </w:rPr>
        <w:t>proprietate</w:t>
      </w:r>
      <w:proofErr w:type="spellEnd"/>
      <w:r w:rsidR="005B792A">
        <w:rPr>
          <w:rFonts w:ascii="Times New Roman" w:hAnsi="Times New Roman" w:cs="Times New Roman"/>
        </w:rPr>
        <w:t xml:space="preserve"> </w:t>
      </w:r>
      <w:proofErr w:type="spellStart"/>
      <w:r w:rsidR="005B792A">
        <w:rPr>
          <w:rFonts w:ascii="Times New Roman" w:hAnsi="Times New Roman" w:cs="Times New Roman"/>
        </w:rPr>
        <w:t>privată</w:t>
      </w:r>
      <w:proofErr w:type="spellEnd"/>
      <w:r w:rsidRPr="00E21C44">
        <w:rPr>
          <w:rFonts w:ascii="Times New Roman" w:hAnsi="Times New Roman" w:cs="Times New Roman"/>
        </w:rPr>
        <w:t>.</w:t>
      </w:r>
    </w:p>
    <w:p w14:paraId="6B8C63E0" w14:textId="642CEF46" w:rsidR="0078136C" w:rsidRPr="00E21C44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21C44">
        <w:rPr>
          <w:rFonts w:ascii="Times New Roman" w:hAnsi="Times New Roman"/>
          <w:sz w:val="24"/>
          <w:szCs w:val="24"/>
        </w:rPr>
        <w:t>Accesul</w:t>
      </w:r>
      <w:proofErr w:type="spellEnd"/>
      <w:r w:rsidRPr="00E21C44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Pr="00E21C44">
        <w:rPr>
          <w:rFonts w:ascii="Times New Roman" w:hAnsi="Times New Roman"/>
          <w:sz w:val="24"/>
          <w:szCs w:val="24"/>
        </w:rPr>
        <w:t>si</w:t>
      </w:r>
      <w:proofErr w:type="spellEnd"/>
      <w:r w:rsidRPr="00E21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C44">
        <w:rPr>
          <w:rFonts w:ascii="Times New Roman" w:hAnsi="Times New Roman"/>
          <w:sz w:val="24"/>
          <w:szCs w:val="24"/>
        </w:rPr>
        <w:t>pietonal</w:t>
      </w:r>
      <w:proofErr w:type="spellEnd"/>
      <w:r w:rsidRPr="00E21C44">
        <w:rPr>
          <w:rFonts w:ascii="Times New Roman" w:hAnsi="Times New Roman"/>
          <w:sz w:val="24"/>
          <w:szCs w:val="24"/>
        </w:rPr>
        <w:t xml:space="preserve"> se realiz</w:t>
      </w:r>
      <w:r w:rsidR="005B792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E21C44">
        <w:rPr>
          <w:rFonts w:ascii="Times New Roman" w:hAnsi="Times New Roman"/>
          <w:sz w:val="24"/>
          <w:szCs w:val="24"/>
        </w:rPr>
        <w:t>a</w:t>
      </w:r>
      <w:r w:rsidR="005B792A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E21C4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aleea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acces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latura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terenului</w:t>
      </w:r>
      <w:proofErr w:type="spellEnd"/>
      <w:r w:rsidRPr="00E21C44">
        <w:rPr>
          <w:rFonts w:ascii="Times New Roman" w:hAnsi="Times New Roman"/>
          <w:sz w:val="24"/>
          <w:szCs w:val="24"/>
        </w:rPr>
        <w:t>.</w:t>
      </w:r>
    </w:p>
    <w:p w14:paraId="75F7B019" w14:textId="77777777" w:rsidR="0078136C" w:rsidRPr="00E21C44" w:rsidRDefault="0078136C" w:rsidP="003928F7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1F4E22" w14:textId="4E813DD3" w:rsidR="0078136C" w:rsidRPr="00D73E32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totala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E32">
        <w:rPr>
          <w:rFonts w:ascii="Times New Roman" w:hAnsi="Times New Roman"/>
          <w:sz w:val="24"/>
          <w:szCs w:val="24"/>
        </w:rPr>
        <w:t>teren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 w:rsidR="005B792A">
        <w:rPr>
          <w:rFonts w:ascii="Times New Roman" w:hAnsi="Times New Roman"/>
          <w:sz w:val="24"/>
          <w:szCs w:val="24"/>
          <w:lang w:val="en-US"/>
        </w:rPr>
        <w:t>2063</w:t>
      </w:r>
      <w:r w:rsidRPr="00D73E3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. </w:t>
      </w:r>
    </w:p>
    <w:p w14:paraId="52978D58" w14:textId="6307A4FD" w:rsidR="005B792A" w:rsidRPr="005B792A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Suprafta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construita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existenta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– 714</w:t>
      </w:r>
      <w:proofErr w:type="gramStart"/>
      <w:r w:rsidR="005B792A">
        <w:rPr>
          <w:rFonts w:ascii="Times New Roman" w:hAnsi="Times New Roman"/>
          <w:sz w:val="24"/>
          <w:szCs w:val="24"/>
          <w:lang w:val="en-US"/>
        </w:rPr>
        <w:t>,00</w:t>
      </w:r>
      <w:proofErr w:type="gramEnd"/>
      <w:r w:rsidR="005B79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B792A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5B792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105566D" w14:textId="5BB27520" w:rsidR="0078136C" w:rsidRPr="00D73E32" w:rsidRDefault="005B792A" w:rsidP="005B792A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="0078136C"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="0078136C"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6C"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="0078136C"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6C" w:rsidRPr="00D73E32">
        <w:rPr>
          <w:rFonts w:ascii="Times New Roman" w:hAnsi="Times New Roman"/>
          <w:sz w:val="24"/>
          <w:szCs w:val="24"/>
        </w:rPr>
        <w:t>propusa</w:t>
      </w:r>
      <w:proofErr w:type="spellEnd"/>
      <w:r w:rsidR="0078136C" w:rsidRPr="00D73E32">
        <w:rPr>
          <w:rFonts w:ascii="Times New Roman" w:hAnsi="Times New Roman"/>
          <w:sz w:val="24"/>
          <w:szCs w:val="24"/>
        </w:rPr>
        <w:t xml:space="preserve"> –</w:t>
      </w:r>
      <w:r w:rsidR="00781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734</w:t>
      </w:r>
      <w:r w:rsidR="007813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875</w:t>
      </w:r>
      <w:r w:rsidR="0078136C"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6C" w:rsidRPr="00D73E32">
        <w:rPr>
          <w:rFonts w:ascii="Times New Roman" w:hAnsi="Times New Roman"/>
          <w:sz w:val="24"/>
          <w:szCs w:val="24"/>
        </w:rPr>
        <w:t>mp</w:t>
      </w:r>
      <w:proofErr w:type="spellEnd"/>
    </w:p>
    <w:p w14:paraId="04D178FB" w14:textId="281A0B33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desfasurata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existent</w:t>
      </w:r>
      <w:r w:rsidR="005B792A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3E32">
        <w:rPr>
          <w:rFonts w:ascii="Times New Roman" w:hAnsi="Times New Roman"/>
          <w:sz w:val="24"/>
          <w:szCs w:val="24"/>
        </w:rPr>
        <w:t xml:space="preserve">– </w:t>
      </w:r>
      <w:r w:rsidR="005B792A">
        <w:rPr>
          <w:rFonts w:ascii="Times New Roman" w:hAnsi="Times New Roman"/>
          <w:sz w:val="24"/>
          <w:szCs w:val="24"/>
          <w:lang w:val="en-US"/>
        </w:rPr>
        <w:t>1799</w:t>
      </w:r>
      <w:r w:rsidRPr="00D73E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5B792A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</w:p>
    <w:p w14:paraId="43E031BB" w14:textId="27E059B4" w:rsidR="0078136C" w:rsidRPr="005B792A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5B792A">
        <w:rPr>
          <w:rFonts w:ascii="Times New Roman" w:hAnsi="Times New Roman"/>
          <w:sz w:val="24"/>
          <w:szCs w:val="24"/>
        </w:rPr>
        <w:t>Suprafata</w:t>
      </w:r>
      <w:proofErr w:type="spellEnd"/>
      <w:r w:rsidRPr="005B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92A">
        <w:rPr>
          <w:rFonts w:ascii="Times New Roman" w:hAnsi="Times New Roman"/>
          <w:sz w:val="24"/>
          <w:szCs w:val="24"/>
        </w:rPr>
        <w:t>construita</w:t>
      </w:r>
      <w:proofErr w:type="spellEnd"/>
      <w:r w:rsidRPr="005B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92A">
        <w:rPr>
          <w:rFonts w:ascii="Times New Roman" w:hAnsi="Times New Roman"/>
          <w:sz w:val="24"/>
          <w:szCs w:val="24"/>
        </w:rPr>
        <w:t>desfasurata</w:t>
      </w:r>
      <w:proofErr w:type="spellEnd"/>
      <w:r w:rsidRPr="005B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92A">
        <w:rPr>
          <w:rFonts w:ascii="Times New Roman" w:hAnsi="Times New Roman"/>
          <w:sz w:val="24"/>
          <w:szCs w:val="24"/>
          <w:lang w:val="en-US"/>
        </w:rPr>
        <w:t>propusa</w:t>
      </w:r>
      <w:proofErr w:type="spellEnd"/>
      <w:r w:rsidR="005B792A" w:rsidRPr="005B79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792A">
        <w:rPr>
          <w:rFonts w:ascii="Times New Roman" w:hAnsi="Times New Roman"/>
          <w:sz w:val="24"/>
          <w:szCs w:val="24"/>
        </w:rPr>
        <w:t xml:space="preserve">– </w:t>
      </w:r>
      <w:r w:rsidR="005B792A" w:rsidRPr="005B792A">
        <w:rPr>
          <w:rFonts w:ascii="Times New Roman" w:hAnsi="Times New Roman"/>
          <w:sz w:val="24"/>
          <w:szCs w:val="24"/>
          <w:lang w:val="en-US"/>
        </w:rPr>
        <w:t>1819</w:t>
      </w:r>
      <w:r w:rsidRPr="005B792A">
        <w:rPr>
          <w:rFonts w:ascii="Times New Roman" w:hAnsi="Times New Roman"/>
          <w:sz w:val="24"/>
          <w:szCs w:val="24"/>
        </w:rPr>
        <w:t>,</w:t>
      </w:r>
      <w:r w:rsidR="005B792A" w:rsidRPr="005B792A">
        <w:rPr>
          <w:rFonts w:ascii="Times New Roman" w:hAnsi="Times New Roman"/>
          <w:sz w:val="24"/>
          <w:szCs w:val="24"/>
          <w:lang w:val="en-US"/>
        </w:rPr>
        <w:t>875</w:t>
      </w:r>
      <w:r w:rsidRPr="005B7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92A">
        <w:rPr>
          <w:rFonts w:ascii="Times New Roman" w:hAnsi="Times New Roman"/>
          <w:sz w:val="24"/>
          <w:szCs w:val="24"/>
        </w:rPr>
        <w:t>mp</w:t>
      </w:r>
      <w:proofErr w:type="spellEnd"/>
    </w:p>
    <w:p w14:paraId="75D9A273" w14:textId="77777777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31ADF71" w14:textId="37C0B995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verzi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5B792A">
        <w:rPr>
          <w:rFonts w:ascii="Times New Roman" w:hAnsi="Times New Roman"/>
          <w:sz w:val="24"/>
          <w:szCs w:val="24"/>
          <w:lang w:val="en-US"/>
        </w:rPr>
        <w:t>460,05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79C4D03" w14:textId="1B2228C8" w:rsidR="005B792A" w:rsidRPr="005B792A" w:rsidRDefault="005B792A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Suprafata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trotuare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platforme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betonate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704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,15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</w:p>
    <w:p w14:paraId="68FADCF9" w14:textId="619D8FEE" w:rsidR="0078136C" w:rsidRPr="00D73E32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AFC1E16" w14:textId="391A2063" w:rsidR="0078136C" w:rsidRPr="0078136C" w:rsidRDefault="0078136C" w:rsidP="003928F7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4DB">
        <w:rPr>
          <w:rFonts w:ascii="Times New Roman" w:hAnsi="Times New Roman"/>
          <w:sz w:val="24"/>
          <w:szCs w:val="24"/>
        </w:rPr>
        <w:t xml:space="preserve">     </w:t>
      </w:r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Imobilul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dispune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de 3</w:t>
      </w:r>
      <w:r w:rsidRPr="0078136C">
        <w:rPr>
          <w:rFonts w:ascii="Times New Roman" w:hAnsi="Times New Roman"/>
          <w:b/>
          <w:sz w:val="24"/>
          <w:szCs w:val="24"/>
          <w:lang w:val="en-US"/>
        </w:rPr>
        <w:t>6</w:t>
      </w:r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unitati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cazare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1</w:t>
      </w:r>
      <w:r w:rsidR="005B792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81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locuri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8136C">
        <w:rPr>
          <w:rFonts w:ascii="Times New Roman" w:hAnsi="Times New Roman"/>
          <w:b/>
          <w:sz w:val="24"/>
          <w:szCs w:val="24"/>
        </w:rPr>
        <w:t>parcare</w:t>
      </w:r>
      <w:proofErr w:type="spellEnd"/>
      <w:r w:rsidRPr="0078136C">
        <w:rPr>
          <w:rFonts w:ascii="Times New Roman" w:hAnsi="Times New Roman"/>
          <w:b/>
          <w:sz w:val="24"/>
          <w:szCs w:val="24"/>
        </w:rPr>
        <w:t>.</w:t>
      </w:r>
    </w:p>
    <w:p w14:paraId="4A58F961" w14:textId="3A88F858" w:rsidR="0078136C" w:rsidRPr="00E5064B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5064B">
        <w:rPr>
          <w:rFonts w:ascii="Times New Roman" w:hAnsi="Times New Roman"/>
          <w:sz w:val="24"/>
        </w:rPr>
        <w:t xml:space="preserve">POT </w:t>
      </w:r>
      <w:r>
        <w:rPr>
          <w:rFonts w:ascii="Times New Roman" w:hAnsi="Times New Roman"/>
          <w:sz w:val="24"/>
        </w:rPr>
        <w:t>existent</w:t>
      </w:r>
      <w:r w:rsidRPr="00E5064B">
        <w:rPr>
          <w:rFonts w:ascii="Times New Roman" w:hAnsi="Times New Roman"/>
          <w:sz w:val="24"/>
        </w:rPr>
        <w:t xml:space="preserve"> = </w:t>
      </w:r>
      <w:r w:rsidR="005B792A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>,</w:t>
      </w:r>
      <w:r w:rsidR="005B792A">
        <w:rPr>
          <w:rFonts w:ascii="Times New Roman" w:hAnsi="Times New Roman"/>
          <w:sz w:val="24"/>
        </w:rPr>
        <w:t>60</w:t>
      </w:r>
      <w:r w:rsidRPr="00E5064B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                      </w:t>
      </w:r>
      <w:r w:rsidRPr="00E5064B">
        <w:rPr>
          <w:rFonts w:ascii="Times New Roman" w:hAnsi="Times New Roman"/>
          <w:sz w:val="24"/>
        </w:rPr>
        <w:t xml:space="preserve">POT propus = </w:t>
      </w:r>
      <w:r w:rsidR="005B792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,</w:t>
      </w:r>
      <w:r w:rsidR="005B792A">
        <w:rPr>
          <w:rFonts w:ascii="Times New Roman" w:hAnsi="Times New Roman"/>
          <w:sz w:val="24"/>
        </w:rPr>
        <w:t>62</w:t>
      </w:r>
      <w:r w:rsidRPr="00E5064B">
        <w:rPr>
          <w:rFonts w:ascii="Times New Roman" w:hAnsi="Times New Roman"/>
          <w:sz w:val="24"/>
        </w:rPr>
        <w:t>%</w:t>
      </w:r>
    </w:p>
    <w:p w14:paraId="6D872F52" w14:textId="36739DD6" w:rsidR="0078136C" w:rsidRPr="0078136C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8136C">
        <w:rPr>
          <w:rFonts w:ascii="Times New Roman" w:hAnsi="Times New Roman"/>
          <w:b/>
          <w:sz w:val="24"/>
          <w:szCs w:val="24"/>
        </w:rPr>
        <w:t xml:space="preserve">CUT existent = </w:t>
      </w:r>
      <w:r w:rsidR="005B792A">
        <w:rPr>
          <w:rFonts w:ascii="Times New Roman" w:hAnsi="Times New Roman"/>
          <w:b/>
          <w:sz w:val="24"/>
          <w:szCs w:val="24"/>
        </w:rPr>
        <w:t>0</w:t>
      </w:r>
      <w:r w:rsidRPr="0078136C">
        <w:rPr>
          <w:rFonts w:ascii="Times New Roman" w:hAnsi="Times New Roman"/>
          <w:b/>
          <w:sz w:val="24"/>
          <w:szCs w:val="24"/>
        </w:rPr>
        <w:t>,</w:t>
      </w:r>
      <w:r w:rsidR="005B792A">
        <w:rPr>
          <w:rFonts w:ascii="Times New Roman" w:hAnsi="Times New Roman"/>
          <w:b/>
          <w:sz w:val="24"/>
          <w:szCs w:val="24"/>
        </w:rPr>
        <w:t>87</w:t>
      </w:r>
      <w:r w:rsidRPr="0078136C">
        <w:rPr>
          <w:rFonts w:ascii="Times New Roman" w:hAnsi="Times New Roman"/>
          <w:b/>
          <w:sz w:val="24"/>
          <w:szCs w:val="24"/>
        </w:rPr>
        <w:t xml:space="preserve">.                            CUT propus = </w:t>
      </w:r>
      <w:r w:rsidR="005B792A">
        <w:rPr>
          <w:rFonts w:ascii="Times New Roman" w:hAnsi="Times New Roman"/>
          <w:b/>
          <w:sz w:val="24"/>
          <w:szCs w:val="24"/>
        </w:rPr>
        <w:t>0</w:t>
      </w:r>
      <w:r w:rsidRPr="0078136C">
        <w:rPr>
          <w:rFonts w:ascii="Times New Roman" w:hAnsi="Times New Roman"/>
          <w:b/>
          <w:sz w:val="24"/>
          <w:szCs w:val="24"/>
        </w:rPr>
        <w:t>,</w:t>
      </w:r>
      <w:r w:rsidR="005B792A">
        <w:rPr>
          <w:rFonts w:ascii="Times New Roman" w:hAnsi="Times New Roman"/>
          <w:b/>
          <w:sz w:val="24"/>
          <w:szCs w:val="24"/>
        </w:rPr>
        <w:t>88</w:t>
      </w:r>
    </w:p>
    <w:p w14:paraId="418E2042" w14:textId="77777777" w:rsidR="0078136C" w:rsidRDefault="0078136C" w:rsidP="003928F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4784B76" w14:textId="77777777" w:rsidR="0078136C" w:rsidRPr="003824C2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utilitatilor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bransarea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in zona (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gaze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24C2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>).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va fi reutilizat la umpluturi si sistematizare teren . Surplusul va </w:t>
            </w: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lastRenderedPageBreak/>
              <w:t>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Eforie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5B79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20F5E3AF" w:rsidR="00F342E4" w:rsidRPr="00785C22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22">
        <w:rPr>
          <w:rFonts w:ascii="Times New Roman" w:hAnsi="Times New Roman" w:cs="Times New Roman"/>
          <w:sz w:val="24"/>
          <w:szCs w:val="24"/>
        </w:rPr>
        <w:t xml:space="preserve">    a) utilizarea actuală și aprobată a terenurilor:</w:t>
      </w:r>
      <w:r w:rsidRPr="0078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785C22">
        <w:rPr>
          <w:rFonts w:ascii="Times New Roman" w:hAnsi="Times New Roman" w:cs="Times New Roman"/>
          <w:sz w:val="24"/>
          <w:szCs w:val="24"/>
        </w:rPr>
        <w:t xml:space="preserve">teren intravilan, categoria de </w:t>
      </w:r>
      <w:proofErr w:type="spellStart"/>
      <w:r w:rsidR="00E93CC5" w:rsidRPr="00785C22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E93CC5" w:rsidRPr="00785C2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93CC5" w:rsidRPr="00785C22">
        <w:rPr>
          <w:rFonts w:ascii="Times New Roman" w:hAnsi="Times New Roman" w:cs="Times New Roman"/>
          <w:sz w:val="24"/>
          <w:szCs w:val="24"/>
        </w:rPr>
        <w:t>curti-constructii</w:t>
      </w:r>
      <w:proofErr w:type="spellEnd"/>
      <w:r w:rsidR="00E93CC5" w:rsidRPr="00785C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93CC5" w:rsidRPr="00785C22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78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785C22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785C22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zona IIA (conform CU nr. </w:t>
      </w:r>
      <w:r w:rsidR="00785C22" w:rsidRPr="00785C22">
        <w:rPr>
          <w:rFonts w:ascii="Times New Roman" w:hAnsi="Times New Roman" w:cs="Times New Roman"/>
          <w:sz w:val="24"/>
          <w:szCs w:val="24"/>
        </w:rPr>
        <w:t>282</w:t>
      </w:r>
      <w:r w:rsidR="00E93CC5" w:rsidRPr="00785C22">
        <w:rPr>
          <w:rFonts w:ascii="Times New Roman" w:hAnsi="Times New Roman" w:cs="Times New Roman"/>
          <w:sz w:val="24"/>
          <w:szCs w:val="24"/>
        </w:rPr>
        <w:t>/</w:t>
      </w:r>
      <w:r w:rsidR="00785C22" w:rsidRPr="00785C22">
        <w:rPr>
          <w:rFonts w:ascii="Times New Roman" w:hAnsi="Times New Roman" w:cs="Times New Roman"/>
          <w:sz w:val="24"/>
          <w:szCs w:val="24"/>
        </w:rPr>
        <w:t>31</w:t>
      </w:r>
      <w:r w:rsidR="00E93CC5" w:rsidRPr="00785C22">
        <w:rPr>
          <w:rFonts w:ascii="Times New Roman" w:hAnsi="Times New Roman" w:cs="Times New Roman"/>
          <w:sz w:val="24"/>
          <w:szCs w:val="24"/>
        </w:rPr>
        <w:t>.1</w:t>
      </w:r>
      <w:r w:rsidR="00785C22" w:rsidRPr="00785C22">
        <w:rPr>
          <w:rFonts w:ascii="Times New Roman" w:hAnsi="Times New Roman" w:cs="Times New Roman"/>
          <w:sz w:val="24"/>
          <w:szCs w:val="24"/>
        </w:rPr>
        <w:t>0</w:t>
      </w:r>
      <w:r w:rsidR="00E93CC5" w:rsidRPr="00785C22">
        <w:rPr>
          <w:rFonts w:ascii="Times New Roman" w:hAnsi="Times New Roman" w:cs="Times New Roman"/>
          <w:sz w:val="24"/>
          <w:szCs w:val="24"/>
        </w:rPr>
        <w:t>.202</w:t>
      </w:r>
      <w:r w:rsidR="00785C22" w:rsidRPr="00785C22">
        <w:rPr>
          <w:rFonts w:ascii="Times New Roman" w:hAnsi="Times New Roman" w:cs="Times New Roman"/>
          <w:sz w:val="24"/>
          <w:szCs w:val="24"/>
        </w:rPr>
        <w:t>3</w:t>
      </w:r>
      <w:r w:rsidR="00E93CC5" w:rsidRPr="00785C22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785C22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78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785C2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E93CC5" w:rsidRPr="00785C22">
        <w:rPr>
          <w:rFonts w:ascii="Times New Roman" w:hAnsi="Times New Roman" w:cs="Times New Roman"/>
          <w:sz w:val="24"/>
          <w:szCs w:val="24"/>
        </w:rPr>
        <w:t xml:space="preserve"> Eforie)</w:t>
      </w:r>
      <w:r w:rsidRPr="00785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79CA6546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Eforie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>) peisaje si situri importante din punct de vedere istoric, cultural sau arheologic: nu este cazul.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lastRenderedPageBreak/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lastRenderedPageBreak/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6A3AFA37" w14:textId="709DC980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3B95A26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684AE52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207C9E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A6248C" w:rsidRDefault="006D2A38" w:rsidP="006D2A38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A6248C" w:rsidRDefault="006D2A38" w:rsidP="006D2A38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7AEA4C" w14:textId="1C408E9C" w:rsidR="00D447FB" w:rsidRPr="00F342E4" w:rsidRDefault="006D2A38" w:rsidP="0011249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9F54" w14:textId="77777777" w:rsidR="00EA39B3" w:rsidRDefault="00EA39B3" w:rsidP="00143ACD">
      <w:pPr>
        <w:spacing w:after="0" w:line="240" w:lineRule="auto"/>
      </w:pPr>
      <w:r>
        <w:separator/>
      </w:r>
    </w:p>
  </w:endnote>
  <w:endnote w:type="continuationSeparator" w:id="0">
    <w:p w14:paraId="4B5B9F7B" w14:textId="77777777" w:rsidR="00EA39B3" w:rsidRDefault="00EA39B3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4823585B" w:rsidR="00D26ADD" w:rsidRDefault="00EA39B3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70038A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70038A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EA39B3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646EC95F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038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038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628E" w14:textId="77777777" w:rsidR="00EA39B3" w:rsidRDefault="00EA39B3" w:rsidP="00143ACD">
      <w:pPr>
        <w:spacing w:after="0" w:line="240" w:lineRule="auto"/>
      </w:pPr>
      <w:r>
        <w:separator/>
      </w:r>
    </w:p>
  </w:footnote>
  <w:footnote w:type="continuationSeparator" w:id="0">
    <w:p w14:paraId="26C64906" w14:textId="77777777" w:rsidR="00EA39B3" w:rsidRDefault="00EA39B3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1249F"/>
    <w:rsid w:val="001249C2"/>
    <w:rsid w:val="00143ACD"/>
    <w:rsid w:val="001B47C8"/>
    <w:rsid w:val="001F64B2"/>
    <w:rsid w:val="002000EA"/>
    <w:rsid w:val="00354326"/>
    <w:rsid w:val="003928F7"/>
    <w:rsid w:val="003C1FB5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B792A"/>
    <w:rsid w:val="005C2EA1"/>
    <w:rsid w:val="00686677"/>
    <w:rsid w:val="006A1311"/>
    <w:rsid w:val="006A261F"/>
    <w:rsid w:val="006D2A38"/>
    <w:rsid w:val="006D65DB"/>
    <w:rsid w:val="006F2AF2"/>
    <w:rsid w:val="0070038A"/>
    <w:rsid w:val="00753CCD"/>
    <w:rsid w:val="0078136C"/>
    <w:rsid w:val="00785C22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9E78DB"/>
    <w:rsid w:val="00A0606A"/>
    <w:rsid w:val="00A0719A"/>
    <w:rsid w:val="00A359A8"/>
    <w:rsid w:val="00A724BC"/>
    <w:rsid w:val="00A72D58"/>
    <w:rsid w:val="00A906B5"/>
    <w:rsid w:val="00AC45F7"/>
    <w:rsid w:val="00B66053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45E5B"/>
    <w:rsid w:val="00D62259"/>
    <w:rsid w:val="00D8381D"/>
    <w:rsid w:val="00DE792C"/>
    <w:rsid w:val="00E35AD6"/>
    <w:rsid w:val="00E82CD9"/>
    <w:rsid w:val="00E84315"/>
    <w:rsid w:val="00E84F3C"/>
    <w:rsid w:val="00E93CC5"/>
    <w:rsid w:val="00EA39B3"/>
    <w:rsid w:val="00ED25D0"/>
    <w:rsid w:val="00F1090C"/>
    <w:rsid w:val="00F342E4"/>
    <w:rsid w:val="00F549EA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BC44-4F66-4B37-9EFF-748531C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3288</Words>
  <Characters>18747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2023-12-08T11:12:00Z</cp:lastPrinted>
  <dcterms:created xsi:type="dcterms:W3CDTF">2024-03-19T10:55:00Z</dcterms:created>
  <dcterms:modified xsi:type="dcterms:W3CDTF">2024-04-24T08:16:00Z</dcterms:modified>
</cp:coreProperties>
</file>