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46A2B750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6BE6">
        <w:rPr>
          <w:rStyle w:val="ax1"/>
          <w:rFonts w:ascii="Times New Roman" w:hAnsi="Times New Roman" w:cs="Times New Roman"/>
          <w:sz w:val="28"/>
          <w:szCs w:val="28"/>
        </w:rPr>
        <w:t xml:space="preserve">        </w:t>
      </w:r>
      <w:r w:rsidR="000A3A77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6BE6">
        <w:rPr>
          <w:rStyle w:val="ax1"/>
          <w:rFonts w:ascii="Times New Roman" w:hAnsi="Times New Roman" w:cs="Times New Roman"/>
          <w:sz w:val="28"/>
          <w:szCs w:val="28"/>
        </w:rPr>
        <w:t xml:space="preserve">  </w:t>
      </w:r>
      <w:r w:rsidR="000A3A77">
        <w:rPr>
          <w:rStyle w:val="ax1"/>
          <w:rFonts w:ascii="Times New Roman" w:hAnsi="Times New Roman" w:cs="Times New Roman"/>
          <w:sz w:val="28"/>
          <w:szCs w:val="28"/>
        </w:rPr>
        <w:t>PROIECT</w:t>
      </w:r>
      <w:r w:rsidR="00686BE6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08A3F5AB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A77">
        <w:rPr>
          <w:rFonts w:ascii="Times New Roman" w:hAnsi="Times New Roman" w:cs="Times New Roman"/>
          <w:b/>
          <w:bCs/>
          <w:sz w:val="28"/>
          <w:szCs w:val="28"/>
        </w:rPr>
        <w:t>xxx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4214ED">
        <w:rPr>
          <w:rFonts w:ascii="Times New Roman" w:hAnsi="Times New Roman" w:cs="Times New Roman"/>
          <w:b/>
          <w:sz w:val="28"/>
          <w:szCs w:val="28"/>
        </w:rPr>
        <w:t>05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4214ED">
        <w:rPr>
          <w:rFonts w:ascii="Times New Roman" w:hAnsi="Times New Roman" w:cs="Times New Roman"/>
          <w:b/>
          <w:sz w:val="28"/>
          <w:szCs w:val="28"/>
        </w:rPr>
        <w:t>6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1C794B3A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0A3A77">
        <w:rPr>
          <w:rFonts w:ascii="Times New Roman" w:hAnsi="Times New Roman"/>
          <w:b/>
          <w:bCs/>
          <w:sz w:val="24"/>
          <w:szCs w:val="24"/>
        </w:rPr>
        <w:t>NACIADI ENACHE SI MAGDALENA</w:t>
      </w:r>
      <w:r w:rsidR="000A3A77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0A3A77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0A3A77">
        <w:rPr>
          <w:rFonts w:ascii="Times New Roman" w:hAnsi="Times New Roman"/>
          <w:bCs/>
          <w:sz w:val="24"/>
          <w:szCs w:val="24"/>
        </w:rPr>
        <w:t xml:space="preserve">cu domiciliul in </w:t>
      </w:r>
      <w:proofErr w:type="spellStart"/>
      <w:r w:rsidR="000A3A7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0A3A77">
        <w:rPr>
          <w:rFonts w:ascii="Times New Roman" w:hAnsi="Times New Roman"/>
          <w:bCs/>
          <w:sz w:val="24"/>
          <w:szCs w:val="24"/>
        </w:rPr>
        <w:t xml:space="preserve"> Tulcea, Municipiul Tulcea</w:t>
      </w:r>
      <w:r w:rsidR="000A3A77" w:rsidRPr="00393F66">
        <w:rPr>
          <w:rFonts w:ascii="Times New Roman" w:hAnsi="Times New Roman"/>
          <w:bCs/>
          <w:sz w:val="24"/>
          <w:szCs w:val="24"/>
        </w:rPr>
        <w:t xml:space="preserve">, str. </w:t>
      </w:r>
      <w:r w:rsidR="000A3A77">
        <w:rPr>
          <w:rFonts w:ascii="Times New Roman" w:hAnsi="Times New Roman"/>
          <w:bCs/>
          <w:sz w:val="24"/>
          <w:szCs w:val="24"/>
        </w:rPr>
        <w:t>Babadag</w:t>
      </w:r>
      <w:r w:rsidR="000A3A77" w:rsidRPr="00393F66">
        <w:rPr>
          <w:rFonts w:ascii="Times New Roman" w:hAnsi="Times New Roman"/>
          <w:bCs/>
          <w:sz w:val="24"/>
          <w:szCs w:val="24"/>
        </w:rPr>
        <w:t xml:space="preserve">, nr. </w:t>
      </w:r>
      <w:r w:rsidR="000A3A77">
        <w:rPr>
          <w:rFonts w:ascii="Times New Roman" w:hAnsi="Times New Roman"/>
          <w:bCs/>
          <w:sz w:val="24"/>
          <w:szCs w:val="24"/>
        </w:rPr>
        <w:t>158, bl. 13, sc. A,  ap. 3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A77">
        <w:rPr>
          <w:rFonts w:ascii="Times New Roman" w:hAnsi="Times New Roman" w:cs="Times New Roman"/>
          <w:bCs/>
          <w:sz w:val="24"/>
          <w:szCs w:val="24"/>
        </w:rPr>
        <w:t>5074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0A3A77">
        <w:rPr>
          <w:rFonts w:ascii="Times New Roman" w:hAnsi="Times New Roman" w:cs="Times New Roman"/>
          <w:sz w:val="24"/>
          <w:szCs w:val="24"/>
        </w:rPr>
        <w:t>17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0A3A77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409E14B0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0A3A77">
        <w:rPr>
          <w:rFonts w:ascii="Times New Roman" w:hAnsi="Times New Roman"/>
          <w:sz w:val="24"/>
          <w:szCs w:val="24"/>
        </w:rPr>
        <w:t>29</w:t>
      </w:r>
      <w:r w:rsidRPr="006F2A2A">
        <w:rPr>
          <w:rFonts w:ascii="Times New Roman" w:hAnsi="Times New Roman"/>
          <w:sz w:val="24"/>
          <w:szCs w:val="24"/>
        </w:rPr>
        <w:t>.0</w:t>
      </w:r>
      <w:r w:rsidR="000A3A77">
        <w:rPr>
          <w:rFonts w:ascii="Times New Roman" w:hAnsi="Times New Roman"/>
          <w:sz w:val="24"/>
          <w:szCs w:val="24"/>
        </w:rPr>
        <w:t>5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0A3A77">
        <w:rPr>
          <w:rFonts w:ascii="Times New Roman" w:hAnsi="Times New Roman"/>
          <w:bCs/>
          <w:sz w:val="24"/>
          <w:szCs w:val="24"/>
          <w:lang w:val="ro-RO"/>
        </w:rPr>
        <w:t>„</w:t>
      </w:r>
      <w:r w:rsidR="000A3A77">
        <w:rPr>
          <w:rFonts w:ascii="Times New Roman" w:hAnsi="Times New Roman"/>
          <w:b/>
          <w:bCs/>
          <w:sz w:val="24"/>
          <w:szCs w:val="24"/>
          <w:lang w:val="ro-RO"/>
        </w:rPr>
        <w:t>CONSTRUIRE IMOBIL S+P+6E+ETAJ TEHNIC – LOCUINȚE COLECTIVE CU SPAȚII COMERCIALE LA PARTER, ORGANIZARE DE ȘANTIER ȘI ÎMPREJMUIRE</w:t>
      </w:r>
      <w:r w:rsidR="000A3A77">
        <w:rPr>
          <w:rFonts w:ascii="Times New Roman" w:hAnsi="Times New Roman"/>
          <w:sz w:val="24"/>
          <w:szCs w:val="24"/>
          <w:lang w:val="ro-RO"/>
        </w:rPr>
        <w:t>”</w:t>
      </w:r>
      <w:r w:rsidR="000A3A77" w:rsidRPr="00E41B05">
        <w:rPr>
          <w:rFonts w:ascii="Times New Roman" w:hAnsi="Times New Roman"/>
          <w:sz w:val="24"/>
          <w:szCs w:val="24"/>
          <w:lang w:val="ro-RO"/>
        </w:rPr>
        <w:t xml:space="preserve">, amplasat </w:t>
      </w:r>
      <w:r w:rsidR="000A3A77">
        <w:rPr>
          <w:rFonts w:ascii="Times New Roman" w:hAnsi="Times New Roman"/>
          <w:sz w:val="24"/>
          <w:szCs w:val="24"/>
          <w:lang w:val="ro-RO"/>
        </w:rPr>
        <w:t>î</w:t>
      </w:r>
      <w:r w:rsidR="000A3A77" w:rsidRPr="00E41B05">
        <w:rPr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="000A3A77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0A3A77">
        <w:rPr>
          <w:rFonts w:ascii="Times New Roman" w:hAnsi="Times New Roman"/>
          <w:bCs/>
          <w:sz w:val="24"/>
          <w:szCs w:val="24"/>
          <w:lang w:val="ro-RO"/>
        </w:rPr>
        <w:t xml:space="preserve"> Constanta, Municipiul Constanta, str. Nespecificată, Parcela V 385/1/2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034DCFC6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</w:t>
      </w:r>
      <w:r w:rsidR="00686BE6">
        <w:rPr>
          <w:rStyle w:val="tpa1"/>
          <w:lang w:val="ro-RO"/>
        </w:rPr>
        <w:t>0</w:t>
      </w:r>
      <w:r w:rsidRPr="00E84315">
        <w:rPr>
          <w:rStyle w:val="tpa1"/>
          <w:lang w:val="ro-RO"/>
        </w:rPr>
        <w:t xml:space="preserve">, litera </w:t>
      </w:r>
      <w:r w:rsidR="000A3A77">
        <w:rPr>
          <w:rStyle w:val="tpa1"/>
          <w:lang w:val="ro-RO"/>
        </w:rPr>
        <w:t>b</w:t>
      </w:r>
      <w:r w:rsidRPr="00E84315">
        <w:rPr>
          <w:rStyle w:val="tpa1"/>
          <w:lang w:val="ro-RO"/>
        </w:rPr>
        <w:t>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0EF571E6" w14:textId="552C105B" w:rsidR="0078136C" w:rsidRPr="001A71DA" w:rsidRDefault="000A3A77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DA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="0078136C" w:rsidRPr="001A71DA">
        <w:rPr>
          <w:rFonts w:ascii="Times New Roman" w:hAnsi="Times New Roman"/>
          <w:sz w:val="24"/>
          <w:szCs w:val="24"/>
        </w:rPr>
        <w:t>roiectul</w:t>
      </w:r>
      <w:proofErr w:type="spellEnd"/>
      <w:r w:rsidR="0078136C" w:rsidRPr="001A7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consta</w:t>
      </w:r>
      <w:proofErr w:type="spellEnd"/>
      <w:r w:rsidRPr="001A71DA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78136C" w:rsidRPr="001A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136C" w:rsidRPr="001A71DA">
        <w:rPr>
          <w:rFonts w:ascii="Times New Roman" w:hAnsi="Times New Roman"/>
          <w:sz w:val="24"/>
          <w:szCs w:val="24"/>
        </w:rPr>
        <w:t>construirea</w:t>
      </w:r>
      <w:proofErr w:type="spellEnd"/>
      <w:r w:rsidR="0078136C" w:rsidRPr="001A7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6C" w:rsidRPr="001A71DA">
        <w:rPr>
          <w:rFonts w:ascii="Times New Roman" w:hAnsi="Times New Roman"/>
          <w:sz w:val="24"/>
          <w:szCs w:val="24"/>
        </w:rPr>
        <w:t>unui</w:t>
      </w:r>
      <w:proofErr w:type="spellEnd"/>
      <w:r w:rsidR="0078136C" w:rsidRPr="001A71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8136C" w:rsidRPr="001A71DA">
        <w:rPr>
          <w:rFonts w:ascii="Times New Roman" w:hAnsi="Times New Roman"/>
          <w:sz w:val="24"/>
          <w:szCs w:val="24"/>
        </w:rPr>
        <w:t>imobil</w:t>
      </w:r>
      <w:proofErr w:type="spellEnd"/>
      <w:r w:rsidR="0078136C" w:rsidRPr="001A71DA">
        <w:rPr>
          <w:rFonts w:ascii="Times New Roman" w:hAnsi="Times New Roman"/>
          <w:sz w:val="24"/>
          <w:szCs w:val="24"/>
        </w:rPr>
        <w:t xml:space="preserve">  </w:t>
      </w:r>
      <w:r w:rsidR="00686BE6" w:rsidRPr="001A71DA">
        <w:rPr>
          <w:rFonts w:ascii="Times New Roman" w:hAnsi="Times New Roman"/>
          <w:sz w:val="24"/>
          <w:szCs w:val="24"/>
          <w:lang w:val="en-US"/>
        </w:rPr>
        <w:t>cu</w:t>
      </w:r>
      <w:proofErr w:type="gramEnd"/>
      <w:r w:rsidR="00686BE6" w:rsidRPr="001A71DA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="00686BE6" w:rsidRPr="001A71DA">
        <w:rPr>
          <w:rFonts w:ascii="Times New Roman" w:hAnsi="Times New Roman"/>
          <w:sz w:val="24"/>
          <w:szCs w:val="24"/>
          <w:lang w:val="en-US"/>
        </w:rPr>
        <w:t>regim</w:t>
      </w:r>
      <w:proofErr w:type="spellEnd"/>
      <w:r w:rsidR="00686BE6" w:rsidRPr="001A71D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686BE6" w:rsidRPr="001A71DA">
        <w:rPr>
          <w:rFonts w:ascii="Times New Roman" w:hAnsi="Times New Roman"/>
          <w:sz w:val="24"/>
          <w:szCs w:val="24"/>
          <w:lang w:val="en-US"/>
        </w:rPr>
        <w:t>inaltime</w:t>
      </w:r>
      <w:proofErr w:type="spellEnd"/>
      <w:r w:rsidR="00686BE6" w:rsidRPr="001A71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136C" w:rsidRPr="001A71DA">
        <w:rPr>
          <w:rFonts w:ascii="Times New Roman" w:hAnsi="Times New Roman"/>
          <w:sz w:val="24"/>
          <w:szCs w:val="24"/>
        </w:rPr>
        <w:t>S+</w:t>
      </w:r>
      <w:r w:rsidR="0078136C" w:rsidRPr="001A71DA">
        <w:rPr>
          <w:rFonts w:ascii="Times New Roman" w:hAnsi="Times New Roman"/>
          <w:sz w:val="24"/>
          <w:szCs w:val="24"/>
          <w:lang w:val="ro-RO"/>
        </w:rPr>
        <w:t>P+</w:t>
      </w:r>
      <w:r w:rsidRPr="001A71DA">
        <w:rPr>
          <w:rFonts w:ascii="Times New Roman" w:hAnsi="Times New Roman"/>
          <w:sz w:val="24"/>
          <w:szCs w:val="24"/>
          <w:lang w:val="ro-RO"/>
        </w:rPr>
        <w:t>6</w:t>
      </w:r>
      <w:r w:rsidR="0078136C" w:rsidRPr="001A71DA">
        <w:rPr>
          <w:rFonts w:ascii="Times New Roman" w:hAnsi="Times New Roman"/>
          <w:sz w:val="24"/>
          <w:szCs w:val="24"/>
          <w:lang w:val="ro-RO"/>
        </w:rPr>
        <w:t>E</w:t>
      </w:r>
      <w:r w:rsidR="0078136C" w:rsidRPr="001A71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6C" w:rsidRPr="001A71DA">
        <w:rPr>
          <w:rFonts w:ascii="Times New Roman" w:hAnsi="Times New Roman"/>
          <w:sz w:val="24"/>
          <w:szCs w:val="24"/>
        </w:rPr>
        <w:t>avand</w:t>
      </w:r>
      <w:proofErr w:type="spellEnd"/>
      <w:r w:rsidR="0078136C" w:rsidRPr="001A7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BE6" w:rsidRPr="001A71DA">
        <w:rPr>
          <w:rFonts w:ascii="Times New Roman" w:hAnsi="Times New Roman"/>
          <w:sz w:val="24"/>
          <w:szCs w:val="24"/>
          <w:lang w:val="en-US"/>
        </w:rPr>
        <w:t>functiunea</w:t>
      </w:r>
      <w:proofErr w:type="spellEnd"/>
      <w:r w:rsidR="00686BE6" w:rsidRPr="001A71D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locuinte</w:t>
      </w:r>
      <w:proofErr w:type="spellEnd"/>
      <w:r w:rsidRPr="001A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colective</w:t>
      </w:r>
      <w:proofErr w:type="spellEnd"/>
      <w:r w:rsidRPr="001A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A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spatii</w:t>
      </w:r>
      <w:proofErr w:type="spellEnd"/>
      <w:r w:rsidRPr="001A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Pr="001A71D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1A71DA">
        <w:rPr>
          <w:rFonts w:ascii="Times New Roman" w:hAnsi="Times New Roman"/>
          <w:sz w:val="24"/>
          <w:szCs w:val="24"/>
          <w:lang w:val="en-US"/>
        </w:rPr>
        <w:t>parter</w:t>
      </w:r>
      <w:proofErr w:type="spellEnd"/>
      <w:r w:rsidR="0078136C" w:rsidRPr="001A71DA">
        <w:rPr>
          <w:rFonts w:ascii="Times New Roman" w:hAnsi="Times New Roman"/>
          <w:sz w:val="24"/>
          <w:szCs w:val="24"/>
        </w:rPr>
        <w:t xml:space="preserve">. </w:t>
      </w:r>
    </w:p>
    <w:p w14:paraId="755F23FA" w14:textId="77777777" w:rsidR="003870A4" w:rsidRPr="001A71DA" w:rsidRDefault="003870A4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5F7B019" w14:textId="77777777" w:rsidR="0078136C" w:rsidRPr="001A71DA" w:rsidRDefault="0078136C" w:rsidP="003928F7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766009" w14:textId="77777777" w:rsidR="000A3A77" w:rsidRPr="001A71DA" w:rsidRDefault="000A3A77" w:rsidP="000A3A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/>
          <w:sz w:val="24"/>
          <w:szCs w:val="24"/>
        </w:rPr>
        <w:t>. teren=833,00 mp</w:t>
      </w:r>
    </w:p>
    <w:p w14:paraId="7E4F34D3" w14:textId="77777777" w:rsidR="000A3A77" w:rsidRPr="001A71DA" w:rsidRDefault="000A3A77" w:rsidP="000A3A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/>
          <w:sz w:val="24"/>
          <w:szCs w:val="24"/>
        </w:rPr>
        <w:t xml:space="preserve">. constr. </w:t>
      </w:r>
      <w:proofErr w:type="spellStart"/>
      <w:r w:rsidRPr="001A71DA">
        <w:rPr>
          <w:rFonts w:ascii="Times New Roman" w:hAnsi="Times New Roman" w:cs="Times New Roman"/>
          <w:b/>
          <w:sz w:val="24"/>
          <w:szCs w:val="24"/>
        </w:rPr>
        <w:t>prop</w:t>
      </w:r>
      <w:proofErr w:type="spellEnd"/>
      <w:r w:rsidRPr="001A71DA">
        <w:rPr>
          <w:rFonts w:ascii="Times New Roman" w:hAnsi="Times New Roman" w:cs="Times New Roman"/>
          <w:b/>
          <w:sz w:val="24"/>
          <w:szCs w:val="24"/>
        </w:rPr>
        <w:t>.=195,00 mp</w:t>
      </w:r>
    </w:p>
    <w:p w14:paraId="3FAA70A6" w14:textId="77777777" w:rsidR="000A3A77" w:rsidRPr="001A71DA" w:rsidRDefault="000A3A77" w:rsidP="000A3A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>. constr. subsol=195,00 mp</w:t>
      </w:r>
    </w:p>
    <w:p w14:paraId="08B05CA9" w14:textId="77777777" w:rsidR="000A3A77" w:rsidRPr="001A71DA" w:rsidRDefault="000A3A77" w:rsidP="000A3A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>. constr. parter=195,00 mp</w:t>
      </w:r>
    </w:p>
    <w:p w14:paraId="70DF7664" w14:textId="77777777" w:rsidR="000A3A77" w:rsidRPr="001A71DA" w:rsidRDefault="000A3A77" w:rsidP="000A3A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 xml:space="preserve">. constr. </w:t>
      </w: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et.curent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>(1-6)=195 mp</w:t>
      </w:r>
    </w:p>
    <w:p w14:paraId="47CDC09B" w14:textId="77777777" w:rsidR="000A3A77" w:rsidRPr="001A71DA" w:rsidRDefault="000A3A77" w:rsidP="000A3A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constr.et.tehnic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>=40,00 mp</w:t>
      </w:r>
    </w:p>
    <w:p w14:paraId="3B62D1E6" w14:textId="77777777" w:rsidR="000A3A77" w:rsidRPr="001A71DA" w:rsidRDefault="000A3A77" w:rsidP="000A3A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 xml:space="preserve">. constr. </w:t>
      </w: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desf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>. totala=1600,00 mp</w:t>
      </w:r>
    </w:p>
    <w:p w14:paraId="418E2042" w14:textId="73C6E11B" w:rsidR="0078136C" w:rsidRPr="001A71DA" w:rsidRDefault="000A3A77" w:rsidP="000A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Cs/>
          <w:sz w:val="24"/>
          <w:szCs w:val="24"/>
        </w:rPr>
        <w:t>Supr</w:t>
      </w:r>
      <w:proofErr w:type="spellEnd"/>
      <w:r w:rsidRPr="001A71DA">
        <w:rPr>
          <w:rFonts w:ascii="Times New Roman" w:hAnsi="Times New Roman" w:cs="Times New Roman"/>
          <w:bCs/>
          <w:sz w:val="24"/>
          <w:szCs w:val="24"/>
        </w:rPr>
        <w:t xml:space="preserve">. Spatii verzi = </w:t>
      </w:r>
      <w:r w:rsidR="00E46283">
        <w:rPr>
          <w:rFonts w:ascii="Times New Roman" w:hAnsi="Times New Roman" w:cs="Times New Roman"/>
          <w:bCs/>
          <w:sz w:val="24"/>
          <w:szCs w:val="24"/>
        </w:rPr>
        <w:t>307</w:t>
      </w:r>
      <w:r w:rsidRPr="001A71DA">
        <w:rPr>
          <w:rFonts w:ascii="Times New Roman" w:hAnsi="Times New Roman" w:cs="Times New Roman"/>
          <w:bCs/>
          <w:sz w:val="24"/>
          <w:szCs w:val="24"/>
        </w:rPr>
        <w:t>,</w:t>
      </w:r>
      <w:r w:rsidR="00E46283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1A71DA">
        <w:rPr>
          <w:rFonts w:ascii="Times New Roman" w:hAnsi="Times New Roman" w:cs="Times New Roman"/>
          <w:bCs/>
          <w:sz w:val="24"/>
          <w:szCs w:val="24"/>
        </w:rPr>
        <w:t>0 mp</w:t>
      </w:r>
    </w:p>
    <w:p w14:paraId="6F63A0E2" w14:textId="29CD8C24" w:rsidR="000A3A77" w:rsidRPr="001A71DA" w:rsidRDefault="000A3A77" w:rsidP="000A3A7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249CD87" w14:textId="77777777" w:rsidR="000A3A77" w:rsidRPr="001A71DA" w:rsidRDefault="000A3A77" w:rsidP="000A3A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b/>
          <w:sz w:val="24"/>
          <w:szCs w:val="24"/>
        </w:rPr>
        <w:t>POTprop</w:t>
      </w:r>
      <w:proofErr w:type="spellEnd"/>
      <w:r w:rsidRPr="001A71DA">
        <w:rPr>
          <w:rFonts w:ascii="Times New Roman" w:hAnsi="Times New Roman" w:cs="Times New Roman"/>
          <w:b/>
          <w:sz w:val="24"/>
          <w:szCs w:val="24"/>
        </w:rPr>
        <w:t xml:space="preserve">.=23,40%       </w:t>
      </w:r>
      <w:proofErr w:type="spellStart"/>
      <w:r w:rsidRPr="001A71DA">
        <w:rPr>
          <w:rFonts w:ascii="Times New Roman" w:hAnsi="Times New Roman" w:cs="Times New Roman"/>
          <w:b/>
          <w:sz w:val="24"/>
          <w:szCs w:val="24"/>
        </w:rPr>
        <w:t>CUTprop</w:t>
      </w:r>
      <w:proofErr w:type="spellEnd"/>
      <w:r w:rsidRPr="001A71DA">
        <w:rPr>
          <w:rFonts w:ascii="Times New Roman" w:hAnsi="Times New Roman" w:cs="Times New Roman"/>
          <w:b/>
          <w:sz w:val="24"/>
          <w:szCs w:val="24"/>
        </w:rPr>
        <w:t>.=1,64</w:t>
      </w:r>
    </w:p>
    <w:p w14:paraId="25ED6B1C" w14:textId="77777777" w:rsidR="000A3A77" w:rsidRPr="001A71DA" w:rsidRDefault="000A3A77" w:rsidP="000A3A77">
      <w:pPr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 xml:space="preserve">Imobilul va avea un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de cca 12 apartamente de doua si trei camere,  Din punct de vedere al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functionalului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alcatuieste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structura imobilului,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functiunile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sunt astfel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repartizate,dupa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>:</w:t>
      </w:r>
    </w:p>
    <w:p w14:paraId="2032CF84" w14:textId="77777777" w:rsidR="000A3A77" w:rsidRPr="001A71DA" w:rsidRDefault="000A3A77" w:rsidP="000A3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>-la subsol-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adapost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aparare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civila si spatii de depozitare</w:t>
      </w:r>
    </w:p>
    <w:p w14:paraId="584FB339" w14:textId="77777777" w:rsidR="000A3A77" w:rsidRPr="001A71DA" w:rsidRDefault="000A3A77" w:rsidP="000A3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 xml:space="preserve">-la parter–2 spatii comerciale cu depozitare si grup sanitar; </w:t>
      </w:r>
    </w:p>
    <w:p w14:paraId="049B7B5C" w14:textId="77777777" w:rsidR="000A3A77" w:rsidRPr="001A71DA" w:rsidRDefault="000A3A77" w:rsidP="000A3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>-la etajele 1-6-1 apartament de 3 camere/nivel si 1 apartament de 2 camere/nivel.</w:t>
      </w:r>
    </w:p>
    <w:p w14:paraId="4D860C02" w14:textId="77777777" w:rsidR="000A3A77" w:rsidRPr="001A71DA" w:rsidRDefault="000A3A77" w:rsidP="000A3A7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9063F4C" w14:textId="77777777" w:rsidR="000A3A77" w:rsidRPr="001A71DA" w:rsidRDefault="000A3A77" w:rsidP="000A3A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de realizare a imobilului cuprind:</w:t>
      </w:r>
    </w:p>
    <w:p w14:paraId="3FB70DB7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santier</w:t>
      </w:r>
      <w:proofErr w:type="spellEnd"/>
    </w:p>
    <w:p w14:paraId="6C960DC7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>amenajarea accesului pentru utilaje</w:t>
      </w:r>
    </w:p>
    <w:p w14:paraId="539B8580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de excavare pentru realizarea infrastructurii</w:t>
      </w:r>
    </w:p>
    <w:p w14:paraId="105D633C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>realizarea infrastructurii</w:t>
      </w:r>
    </w:p>
    <w:p w14:paraId="69B49F34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>ridicarea suprastructurii etaj cu etaj</w:t>
      </w:r>
    </w:p>
    <w:p w14:paraId="514C86C0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 xml:space="preserve">realizarea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inchiderilor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suprastructurii si a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interioare</w:t>
      </w:r>
    </w:p>
    <w:p w14:paraId="7FDA4D10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 xml:space="preserve">refacerea zonelor utilizate temporar pentru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lucrari</w:t>
      </w:r>
      <w:proofErr w:type="spellEnd"/>
    </w:p>
    <w:p w14:paraId="74CB4C6E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 xml:space="preserve">dezafectarea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santier</w:t>
      </w:r>
      <w:proofErr w:type="spellEnd"/>
    </w:p>
    <w:p w14:paraId="36400E46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1DA">
        <w:rPr>
          <w:rFonts w:ascii="Times New Roman" w:hAnsi="Times New Roman" w:cs="Times New Roman"/>
          <w:sz w:val="24"/>
          <w:szCs w:val="24"/>
        </w:rPr>
        <w:t>amenajari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in vederea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1A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</w:rPr>
        <w:t>cladirii</w:t>
      </w:r>
      <w:proofErr w:type="spellEnd"/>
    </w:p>
    <w:p w14:paraId="52706613" w14:textId="77777777" w:rsidR="000A3A77" w:rsidRPr="001A71DA" w:rsidRDefault="000A3A77" w:rsidP="000A3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DA">
        <w:rPr>
          <w:rFonts w:ascii="Times New Roman" w:hAnsi="Times New Roman" w:cs="Times New Roman"/>
          <w:sz w:val="24"/>
          <w:szCs w:val="24"/>
        </w:rPr>
        <w:t xml:space="preserve">amenajare spatii verzi  </w:t>
      </w:r>
    </w:p>
    <w:p w14:paraId="70CFA16F" w14:textId="77777777" w:rsidR="000A3A77" w:rsidRPr="001A71DA" w:rsidRDefault="000A3A77" w:rsidP="003928F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784B76" w14:textId="77777777" w:rsidR="0078136C" w:rsidRPr="001A71DA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Asigurarea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utilitatilor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bransarea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retelele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existente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in zona (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alimentare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canalizare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, gaze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energie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71DA">
        <w:rPr>
          <w:rFonts w:ascii="Times New Roman" w:hAnsi="Times New Roman" w:cs="Times New Roman"/>
          <w:sz w:val="24"/>
          <w:szCs w:val="24"/>
          <w:lang w:val="fr-FR"/>
        </w:rPr>
        <w:t>electrica</w:t>
      </w:r>
      <w:proofErr w:type="spellEnd"/>
      <w:r w:rsidRPr="001A71DA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lastRenderedPageBreak/>
        <w:t>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10D7D050" w:rsidR="00E93CC5" w:rsidRPr="0082677B" w:rsidRDefault="00E93CC5" w:rsidP="00E11DF4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 w:rsidR="00E11DF4">
              <w:rPr>
                <w:rFonts w:ascii="Times New Roman" w:hAnsi="Times New Roman"/>
                <w:sz w:val="24"/>
                <w:szCs w:val="24"/>
                <w:lang w:val="pt-PT"/>
              </w:rPr>
              <w:t>Municipiului Constanta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4D9D9E85" w:rsidR="00F342E4" w:rsidRPr="000A3A7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a) </w:t>
      </w:r>
      <w:r w:rsidRPr="00E17AC5">
        <w:rPr>
          <w:rFonts w:ascii="Times New Roman" w:hAnsi="Times New Roman" w:cs="Times New Roman"/>
          <w:sz w:val="24"/>
          <w:szCs w:val="24"/>
        </w:rPr>
        <w:t xml:space="preserve">utilizarea </w:t>
      </w:r>
      <w:r w:rsidRPr="000A3A77">
        <w:rPr>
          <w:rFonts w:ascii="Times New Roman" w:hAnsi="Times New Roman" w:cs="Times New Roman"/>
          <w:color w:val="FF0000"/>
          <w:sz w:val="24"/>
          <w:szCs w:val="24"/>
        </w:rPr>
        <w:t>actuală și aprobată a terenurilor:</w:t>
      </w:r>
      <w:r w:rsidRPr="000A3A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teren intravilan,  </w:t>
      </w:r>
      <w:proofErr w:type="spellStart"/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avand</w:t>
      </w:r>
      <w:proofErr w:type="spellEnd"/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destinatia</w:t>
      </w:r>
      <w:proofErr w:type="spellEnd"/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 stabilita prin planurile de urbanism si amenajarea teritoriului aprobate zona </w:t>
      </w:r>
      <w:r w:rsidR="00E11DF4" w:rsidRPr="000A3A77">
        <w:rPr>
          <w:rFonts w:ascii="Times New Roman" w:hAnsi="Times New Roman" w:cs="Times New Roman"/>
          <w:color w:val="FF0000"/>
          <w:sz w:val="24"/>
          <w:szCs w:val="24"/>
        </w:rPr>
        <w:t>ZCS1-zona situata in lungul pietonalelor majore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 (conform CU nr. 33</w:t>
      </w:r>
      <w:r w:rsidR="00E11DF4" w:rsidRPr="000A3A7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11DF4" w:rsidRPr="000A3A77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11DF4" w:rsidRPr="000A3A77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E11DF4" w:rsidRPr="000A3A77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 eliberat de </w:t>
      </w:r>
      <w:proofErr w:type="spellStart"/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Primaria</w:t>
      </w:r>
      <w:proofErr w:type="spellEnd"/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1DF4" w:rsidRPr="000A3A77">
        <w:rPr>
          <w:rFonts w:ascii="Times New Roman" w:hAnsi="Times New Roman" w:cs="Times New Roman"/>
          <w:color w:val="FF0000"/>
          <w:sz w:val="24"/>
          <w:szCs w:val="24"/>
        </w:rPr>
        <w:t>Municipiului Constanta</w:t>
      </w:r>
      <w:r w:rsidR="00E93CC5" w:rsidRPr="000A3A7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69BBD0E" w14:textId="77777777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77">
        <w:rPr>
          <w:rFonts w:ascii="Times New Roman" w:hAnsi="Times New Roman" w:cs="Times New Roman"/>
          <w:color w:val="FF0000"/>
          <w:sz w:val="24"/>
          <w:szCs w:val="24"/>
        </w:rPr>
        <w:t xml:space="preserve">    b) bogăția, disponibilitatea, calitatea și capacitatea de regenerare relative ale </w:t>
      </w:r>
      <w:r w:rsidRPr="00E17AC5">
        <w:rPr>
          <w:rFonts w:ascii="Times New Roman" w:hAnsi="Times New Roman" w:cs="Times New Roman"/>
          <w:sz w:val="24"/>
          <w:szCs w:val="24"/>
        </w:rPr>
        <w:t>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17A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17AC5">
        <w:rPr>
          <w:rFonts w:ascii="Times New Roman" w:hAnsi="Times New Roman" w:cs="Times New Roman"/>
          <w:sz w:val="24"/>
          <w:szCs w:val="24"/>
        </w:rPr>
        <w:t xml:space="preserve"> a mediului </w:t>
      </w:r>
      <w:r w:rsidRPr="00E93CC5">
        <w:rPr>
          <w:rFonts w:ascii="Times New Roman" w:hAnsi="Times New Roman" w:cs="Times New Roman"/>
          <w:sz w:val="24"/>
          <w:szCs w:val="24"/>
        </w:rPr>
        <w:t xml:space="preserve">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0A3A7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</w:t>
      </w:r>
      <w:r w:rsidRPr="000A3A77">
        <w:rPr>
          <w:rFonts w:ascii="Times New Roman" w:hAnsi="Times New Roman" w:cs="Times New Roman"/>
          <w:sz w:val="24"/>
          <w:szCs w:val="24"/>
        </w:rPr>
        <w:t>cazul</w:t>
      </w:r>
      <w:r w:rsidRPr="000A3A77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6B09A0E1" w:rsidR="00F342E4" w:rsidRPr="000A3A7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77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r w:rsidR="00E11DF4" w:rsidRPr="000A3A77">
        <w:rPr>
          <w:rFonts w:ascii="Times New Roman" w:hAnsi="Times New Roman" w:cs="Times New Roman"/>
          <w:sz w:val="24"/>
          <w:szCs w:val="24"/>
        </w:rPr>
        <w:t>Municipiul Constanta</w:t>
      </w:r>
      <w:r w:rsidRPr="000A3A77">
        <w:rPr>
          <w:rFonts w:ascii="Times New Roman" w:hAnsi="Times New Roman" w:cs="Times New Roman"/>
          <w:sz w:val="24"/>
          <w:szCs w:val="24"/>
        </w:rPr>
        <w:t>.</w:t>
      </w:r>
    </w:p>
    <w:p w14:paraId="28AB6163" w14:textId="2D7666E9" w:rsidR="00BB2C26" w:rsidRPr="000A3A77" w:rsidRDefault="00F342E4" w:rsidP="000A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A77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arheologic: </w:t>
      </w:r>
      <w:r w:rsidR="000A3A77" w:rsidRPr="000A3A77">
        <w:rPr>
          <w:rFonts w:ascii="Times New Roman" w:hAnsi="Times New Roman" w:cs="Times New Roman"/>
          <w:sz w:val="24"/>
          <w:szCs w:val="24"/>
          <w:lang w:eastAsia="ar-SA"/>
        </w:rPr>
        <w:t xml:space="preserve">conform OMC nr. nr.2828/2015 pentru modificarea anexei nr.1 la Ordinul Ministrului Culturii și Cultelor nr.2314/2004 privind aprobarea Listei monumentelor istorice, actualizată, și a Listei monumentelor istorice dispărute, cu modificările ulterioare : situl arheologic de la Palazu Mare, </w:t>
      </w:r>
      <w:proofErr w:type="spellStart"/>
      <w:r w:rsidR="000A3A77" w:rsidRPr="000A3A77">
        <w:rPr>
          <w:rFonts w:ascii="Times New Roman" w:hAnsi="Times New Roman" w:cs="Times New Roman"/>
          <w:sz w:val="24"/>
          <w:szCs w:val="24"/>
          <w:lang w:eastAsia="ar-SA"/>
        </w:rPr>
        <w:t>codLMI</w:t>
      </w:r>
      <w:proofErr w:type="spellEnd"/>
      <w:r w:rsidR="000A3A77" w:rsidRPr="000A3A77">
        <w:rPr>
          <w:rFonts w:ascii="Times New Roman" w:hAnsi="Times New Roman" w:cs="Times New Roman"/>
          <w:sz w:val="24"/>
          <w:szCs w:val="24"/>
          <w:lang w:eastAsia="ar-SA"/>
        </w:rPr>
        <w:t xml:space="preserve"> CT-l-s-B-02724, nr. crt. 365, </w:t>
      </w:r>
      <w:proofErr w:type="spellStart"/>
      <w:r w:rsidR="000A3A77" w:rsidRPr="000A3A77">
        <w:rPr>
          <w:rFonts w:ascii="Times New Roman" w:hAnsi="Times New Roman" w:cs="Times New Roman"/>
          <w:sz w:val="24"/>
          <w:szCs w:val="24"/>
          <w:lang w:eastAsia="ar-SA"/>
        </w:rPr>
        <w:t>Asezare</w:t>
      </w:r>
      <w:proofErr w:type="spellEnd"/>
      <w:r w:rsidR="000A3A77" w:rsidRPr="000A3A77">
        <w:rPr>
          <w:rFonts w:ascii="Times New Roman" w:hAnsi="Times New Roman" w:cs="Times New Roman"/>
          <w:sz w:val="24"/>
          <w:szCs w:val="24"/>
          <w:lang w:eastAsia="ar-SA"/>
        </w:rPr>
        <w:t xml:space="preserve"> rurala CT-l-m-B-02724.01, nr. crt. 366, Necropola CT-l-m-B-02724.02, nr. crt. 367</w:t>
      </w:r>
      <w:r w:rsidR="00BB2C26" w:rsidRPr="000A3A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lastRenderedPageBreak/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3C1FB5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CE3F9D" w14:textId="7F45C4B4" w:rsidR="00D447FB" w:rsidRPr="003C1FB5" w:rsidRDefault="00D447FB" w:rsidP="00D447F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3AFA37" w14:textId="1AA5207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3B95A26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684AE52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207C9E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125954" w:rsidRDefault="006D2A38" w:rsidP="006D2A38">
      <w:pPr>
        <w:pStyle w:val="Titlu6"/>
        <w:rPr>
          <w:bCs/>
          <w:color w:val="auto"/>
          <w:szCs w:val="24"/>
        </w:rPr>
      </w:pPr>
      <w:r w:rsidRPr="00125954">
        <w:rPr>
          <w:color w:val="auto"/>
          <w:szCs w:val="24"/>
        </w:rPr>
        <w:t xml:space="preserve">                                                                                                        </w:t>
      </w:r>
      <w:proofErr w:type="spellStart"/>
      <w:r w:rsidRPr="00125954">
        <w:rPr>
          <w:color w:val="auto"/>
          <w:szCs w:val="24"/>
        </w:rPr>
        <w:t>Întocmit</w:t>
      </w:r>
      <w:proofErr w:type="spellEnd"/>
      <w:r w:rsidRPr="00125954">
        <w:rPr>
          <w:color w:val="auto"/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125954" w:rsidRDefault="006D2A38" w:rsidP="006D2A38">
      <w:pPr>
        <w:rPr>
          <w:rFonts w:ascii="Times New Roman" w:hAnsi="Times New Roman"/>
          <w:sz w:val="24"/>
          <w:szCs w:val="24"/>
        </w:rPr>
      </w:pPr>
      <w:r w:rsidRPr="001259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B320" w14:textId="77777777" w:rsidR="00931AD3" w:rsidRDefault="00931AD3" w:rsidP="00143ACD">
      <w:pPr>
        <w:spacing w:after="0" w:line="240" w:lineRule="auto"/>
      </w:pPr>
      <w:r>
        <w:separator/>
      </w:r>
    </w:p>
  </w:endnote>
  <w:endnote w:type="continuationSeparator" w:id="0">
    <w:p w14:paraId="4F32A457" w14:textId="77777777" w:rsidR="00931AD3" w:rsidRDefault="00931AD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85D0083" w:rsidR="00D26ADD" w:rsidRDefault="00931AD3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46283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46283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931AD3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BBF63F0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4628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4628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19FCD" w14:textId="77777777" w:rsidR="00931AD3" w:rsidRDefault="00931AD3" w:rsidP="00143ACD">
      <w:pPr>
        <w:spacing w:after="0" w:line="240" w:lineRule="auto"/>
      </w:pPr>
      <w:r>
        <w:separator/>
      </w:r>
    </w:p>
  </w:footnote>
  <w:footnote w:type="continuationSeparator" w:id="0">
    <w:p w14:paraId="5F6691AC" w14:textId="77777777" w:rsidR="00931AD3" w:rsidRDefault="00931AD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545E"/>
    <w:multiLevelType w:val="hybridMultilevel"/>
    <w:tmpl w:val="A1BAE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A3A77"/>
    <w:rsid w:val="000C0E50"/>
    <w:rsid w:val="000E1DC5"/>
    <w:rsid w:val="001106DF"/>
    <w:rsid w:val="00125954"/>
    <w:rsid w:val="00143ACD"/>
    <w:rsid w:val="001A71DA"/>
    <w:rsid w:val="001B47C8"/>
    <w:rsid w:val="001F64B2"/>
    <w:rsid w:val="002000EA"/>
    <w:rsid w:val="002600EA"/>
    <w:rsid w:val="002E3616"/>
    <w:rsid w:val="00354326"/>
    <w:rsid w:val="003870A4"/>
    <w:rsid w:val="00391EDC"/>
    <w:rsid w:val="003928F7"/>
    <w:rsid w:val="003C1FB5"/>
    <w:rsid w:val="004214ED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B3101"/>
    <w:rsid w:val="005C2EA1"/>
    <w:rsid w:val="006025BE"/>
    <w:rsid w:val="00685CC7"/>
    <w:rsid w:val="00686BE6"/>
    <w:rsid w:val="006A1311"/>
    <w:rsid w:val="006A261F"/>
    <w:rsid w:val="006D2A38"/>
    <w:rsid w:val="006D65DB"/>
    <w:rsid w:val="006F2A2A"/>
    <w:rsid w:val="006F2AF2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343B"/>
    <w:rsid w:val="008C58FD"/>
    <w:rsid w:val="008C7811"/>
    <w:rsid w:val="008D246C"/>
    <w:rsid w:val="008D5789"/>
    <w:rsid w:val="008E19DC"/>
    <w:rsid w:val="0090061B"/>
    <w:rsid w:val="009142A5"/>
    <w:rsid w:val="00931AD3"/>
    <w:rsid w:val="00981A0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B26FA9"/>
    <w:rsid w:val="00B55BC7"/>
    <w:rsid w:val="00B61643"/>
    <w:rsid w:val="00B66053"/>
    <w:rsid w:val="00B97AD6"/>
    <w:rsid w:val="00BB2C26"/>
    <w:rsid w:val="00BB5E4C"/>
    <w:rsid w:val="00BD152E"/>
    <w:rsid w:val="00BE0746"/>
    <w:rsid w:val="00C02DFA"/>
    <w:rsid w:val="00C545F6"/>
    <w:rsid w:val="00C61733"/>
    <w:rsid w:val="00C909D6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62259"/>
    <w:rsid w:val="00D74B77"/>
    <w:rsid w:val="00D8381D"/>
    <w:rsid w:val="00DE792C"/>
    <w:rsid w:val="00E11DF4"/>
    <w:rsid w:val="00E17AC5"/>
    <w:rsid w:val="00E35AD6"/>
    <w:rsid w:val="00E46283"/>
    <w:rsid w:val="00E82CD9"/>
    <w:rsid w:val="00E84315"/>
    <w:rsid w:val="00E84F3C"/>
    <w:rsid w:val="00E93CC5"/>
    <w:rsid w:val="00EB327D"/>
    <w:rsid w:val="00ED25D0"/>
    <w:rsid w:val="00EF02B8"/>
    <w:rsid w:val="00F1090C"/>
    <w:rsid w:val="00F342E4"/>
    <w:rsid w:val="00F549EA"/>
    <w:rsid w:val="00FA2F7B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1989-F8EA-467C-A825-69682C97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3392</Words>
  <Characters>19335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2024-04-30T11:22:00Z</cp:lastPrinted>
  <dcterms:created xsi:type="dcterms:W3CDTF">2024-05-16T12:28:00Z</dcterms:created>
  <dcterms:modified xsi:type="dcterms:W3CDTF">2024-06-05T07:55:00Z</dcterms:modified>
</cp:coreProperties>
</file>